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B0" w:rsidRPr="000C11B0" w:rsidRDefault="000C11B0" w:rsidP="000C11B0">
      <w:pPr>
        <w:jc w:val="center"/>
        <w:rPr>
          <w:b/>
          <w:sz w:val="28"/>
          <w:szCs w:val="28"/>
          <w:lang w:val="sr-Cyrl-RS"/>
        </w:rPr>
      </w:pPr>
      <w:r w:rsidRPr="000C11B0">
        <w:rPr>
          <w:b/>
          <w:sz w:val="28"/>
          <w:szCs w:val="28"/>
          <w:lang w:val="sr-Cyrl-RS"/>
        </w:rPr>
        <w:t>ИЗВЕШТАЈ</w:t>
      </w:r>
    </w:p>
    <w:p w:rsidR="00CA54DD" w:rsidRDefault="000C11B0" w:rsidP="000C11B0">
      <w:pPr>
        <w:jc w:val="center"/>
        <w:rPr>
          <w:b/>
          <w:sz w:val="28"/>
          <w:szCs w:val="28"/>
          <w:lang w:val="sr-Cyrl-RS"/>
        </w:rPr>
      </w:pPr>
      <w:r w:rsidRPr="000C11B0">
        <w:rPr>
          <w:b/>
          <w:sz w:val="28"/>
          <w:szCs w:val="28"/>
          <w:lang w:val="sr-Cyrl-RS"/>
        </w:rPr>
        <w:t>О РЕАЛИЗАЦИЈИ ИНОВАЦИОНОГ ВАУЧЕРА</w:t>
      </w:r>
    </w:p>
    <w:p w:rsidR="000C11B0" w:rsidRDefault="000C11B0" w:rsidP="000C11B0">
      <w:pPr>
        <w:jc w:val="center"/>
        <w:rPr>
          <w:b/>
          <w:sz w:val="28"/>
          <w:szCs w:val="28"/>
          <w:lang w:val="sr-Cyrl-RS"/>
        </w:rPr>
      </w:pPr>
    </w:p>
    <w:p w:rsidR="00492E1A" w:rsidRPr="00492E1A" w:rsidRDefault="00492E1A" w:rsidP="000C11B0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Увод</w:t>
      </w:r>
    </w:p>
    <w:p w:rsidR="002E342B" w:rsidRPr="002E342B" w:rsidRDefault="000C11B0" w:rsidP="002E342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захтева Привредног друштва за развој пољопривреде “Златиборски Еко Аграр д.о.о.“ из Чајетине (4178/09.10.2019), а везано за подношење пријаве за иновационе ваучере, позиву расписаном од стране Фонда за иновациону делатност, Институт за хигијену </w:t>
      </w:r>
      <w:r w:rsidR="00DE263A">
        <w:rPr>
          <w:sz w:val="24"/>
          <w:szCs w:val="24"/>
          <w:lang w:val="sr-Cyrl-RS"/>
        </w:rPr>
        <w:t>и технологију меса из Београда је горе поменутом друштву доставио финансијску понуду</w:t>
      </w:r>
      <w:r w:rsidR="007B5DFE">
        <w:rPr>
          <w:sz w:val="24"/>
          <w:szCs w:val="24"/>
          <w:lang w:val="sr-Cyrl-RS"/>
        </w:rPr>
        <w:t xml:space="preserve"> за пружање услуге (</w:t>
      </w:r>
      <w:r w:rsidR="005645D0">
        <w:rPr>
          <w:sz w:val="24"/>
          <w:szCs w:val="24"/>
          <w:lang w:val="sr-Cyrl-RS"/>
        </w:rPr>
        <w:t>п</w:t>
      </w:r>
      <w:r w:rsidR="007B5DFE">
        <w:rPr>
          <w:sz w:val="24"/>
          <w:szCs w:val="24"/>
          <w:lang w:val="sr-Cyrl-RS"/>
        </w:rPr>
        <w:t>рилог 1)</w:t>
      </w:r>
      <w:r w:rsidR="00DE263A">
        <w:rPr>
          <w:sz w:val="24"/>
          <w:szCs w:val="24"/>
          <w:lang w:val="sr-Cyrl-RS"/>
        </w:rPr>
        <w:t xml:space="preserve">. Понуда се односила на анализе козијег и крављег млека и сурутке </w:t>
      </w:r>
      <w:r w:rsidR="007B5DFE">
        <w:rPr>
          <w:sz w:val="24"/>
          <w:szCs w:val="24"/>
          <w:lang w:val="sr-Cyrl-RS"/>
        </w:rPr>
        <w:t xml:space="preserve">у </w:t>
      </w:r>
      <w:r w:rsidR="002E342B">
        <w:rPr>
          <w:sz w:val="24"/>
          <w:szCs w:val="24"/>
          <w:lang w:val="sr-Cyrl-RS"/>
        </w:rPr>
        <w:t>оквиру</w:t>
      </w:r>
      <w:r w:rsidR="00DE263A">
        <w:rPr>
          <w:sz w:val="24"/>
          <w:szCs w:val="24"/>
          <w:lang w:val="sr-Cyrl-RS"/>
        </w:rPr>
        <w:t xml:space="preserve"> пројекта Дистрибуција и стабилност афлатоксина М1 током прераде млека, са освртом на здравствени ризик од прису</w:t>
      </w:r>
      <w:r w:rsidR="002E342B">
        <w:rPr>
          <w:sz w:val="24"/>
          <w:szCs w:val="24"/>
          <w:lang w:val="sr-Cyrl-RS"/>
        </w:rPr>
        <w:t xml:space="preserve">ства афлатоксина М1 у сурутки. Пројекат је </w:t>
      </w:r>
      <w:r w:rsidR="007B5DFE">
        <w:rPr>
          <w:sz w:val="24"/>
          <w:szCs w:val="24"/>
          <w:lang w:val="sr-Cyrl-RS"/>
        </w:rPr>
        <w:t>одобрен</w:t>
      </w:r>
      <w:r w:rsidR="002E342B">
        <w:rPr>
          <w:sz w:val="24"/>
          <w:szCs w:val="24"/>
          <w:lang w:val="sr-Cyrl-RS"/>
        </w:rPr>
        <w:t xml:space="preserve"> за финансирање</w:t>
      </w:r>
      <w:r w:rsidR="007B5DFE">
        <w:rPr>
          <w:sz w:val="24"/>
          <w:szCs w:val="24"/>
          <w:lang w:val="sr-Cyrl-RS"/>
        </w:rPr>
        <w:t xml:space="preserve"> од стране Фонда за иновациону делатност (Уговор бр</w:t>
      </w:r>
      <w:r w:rsidR="00EE3141">
        <w:rPr>
          <w:sz w:val="24"/>
          <w:szCs w:val="24"/>
          <w:lang w:val="sr-Cyrl-RS"/>
        </w:rPr>
        <w:t>.</w:t>
      </w:r>
      <w:r w:rsidR="007B5DFE">
        <w:rPr>
          <w:sz w:val="24"/>
          <w:szCs w:val="24"/>
          <w:lang w:val="sr-Cyrl-RS"/>
        </w:rPr>
        <w:t xml:space="preserve"> 231/31.10.2018).</w:t>
      </w:r>
      <w:r w:rsidR="002E342B">
        <w:rPr>
          <w:sz w:val="24"/>
          <w:szCs w:val="24"/>
          <w:lang w:val="sr-Cyrl-RS"/>
        </w:rPr>
        <w:t xml:space="preserve"> </w:t>
      </w:r>
      <w:r w:rsidR="002E342B" w:rsidRPr="002E342B">
        <w:rPr>
          <w:sz w:val="24"/>
          <w:szCs w:val="24"/>
          <w:lang w:val="sr-Cyrl-RS"/>
        </w:rPr>
        <w:t xml:space="preserve">Опис проблема/услуге коју захтевате од јавне научноистаживачке организације </w:t>
      </w:r>
      <w:r w:rsidR="002E342B">
        <w:rPr>
          <w:sz w:val="24"/>
          <w:szCs w:val="24"/>
          <w:lang w:val="sr-Cyrl-RS"/>
        </w:rPr>
        <w:t>и о</w:t>
      </w:r>
      <w:r w:rsidR="002E342B" w:rsidRPr="002E342B">
        <w:rPr>
          <w:sz w:val="24"/>
          <w:szCs w:val="24"/>
          <w:lang w:val="sr-Cyrl-RS"/>
        </w:rPr>
        <w:t>чекивани резултати пружене услуге</w:t>
      </w:r>
      <w:r w:rsidR="002E342B">
        <w:rPr>
          <w:sz w:val="24"/>
          <w:szCs w:val="24"/>
          <w:lang w:val="sr-Cyrl-RS"/>
        </w:rPr>
        <w:t xml:space="preserve"> дати су у прилогу 1. </w:t>
      </w:r>
    </w:p>
    <w:p w:rsidR="00E34B60" w:rsidRDefault="00E34B60" w:rsidP="000C11B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Први део реализације пројекта састојао се од анализе узорака достављених од стране привредног друштва </w:t>
      </w:r>
      <w:r w:rsidRPr="00E34B60">
        <w:rPr>
          <w:sz w:val="24"/>
          <w:szCs w:val="24"/>
          <w:lang w:val="sr-Cyrl-RS"/>
        </w:rPr>
        <w:t>Златиборски Еко Аграр д.о.о.</w:t>
      </w:r>
      <w:r>
        <w:rPr>
          <w:sz w:val="24"/>
          <w:szCs w:val="24"/>
          <w:lang w:val="sr-Cyrl-RS"/>
        </w:rPr>
        <w:t xml:space="preserve"> </w:t>
      </w:r>
      <w:r w:rsidR="002E342B">
        <w:rPr>
          <w:sz w:val="24"/>
          <w:szCs w:val="24"/>
          <w:lang w:val="sr-Cyrl-RS"/>
        </w:rPr>
        <w:t xml:space="preserve">Циљ овог дела пројекта је био да се утврди </w:t>
      </w:r>
      <w:r w:rsidR="00270986">
        <w:rPr>
          <w:sz w:val="24"/>
          <w:szCs w:val="24"/>
          <w:lang w:val="sr-Cyrl-RS"/>
        </w:rPr>
        <w:t xml:space="preserve">степен контаминације млека АФМ1 прикупљеног од индивидуалних произвођача са територије Златибора, као и да се утврди дистрибуција АФМ1 у сурутки добијеној од анализираног млека. </w:t>
      </w:r>
      <w:r w:rsidR="004957F7">
        <w:rPr>
          <w:sz w:val="24"/>
          <w:szCs w:val="24"/>
          <w:lang w:val="sr-Cyrl-RS"/>
        </w:rPr>
        <w:t>Укупно је анализирано 60 узорака, од тога по 15 узорака крављег и козијег млека и по 15 узорака сурутке од крављег и козијег млека</w:t>
      </w:r>
      <w:r w:rsidR="00EE3141">
        <w:rPr>
          <w:sz w:val="24"/>
          <w:szCs w:val="24"/>
          <w:lang w:val="sr-Cyrl-RS"/>
        </w:rPr>
        <w:t xml:space="preserve"> </w:t>
      </w:r>
      <w:r w:rsidR="00EE3141">
        <w:rPr>
          <w:sz w:val="24"/>
          <w:szCs w:val="24"/>
          <w:lang w:val="sr-Cyrl-RS"/>
        </w:rPr>
        <w:t>(табела 1)</w:t>
      </w:r>
      <w:r w:rsidR="004957F7">
        <w:rPr>
          <w:sz w:val="24"/>
          <w:szCs w:val="24"/>
          <w:lang w:val="sr-Cyrl-RS"/>
        </w:rPr>
        <w:t xml:space="preserve">. </w:t>
      </w:r>
    </w:p>
    <w:p w:rsidR="000C11B0" w:rsidRDefault="00E34B60" w:rsidP="000C11B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Табела 1. </w:t>
      </w:r>
      <w:r w:rsidR="007B5DFE">
        <w:rPr>
          <w:sz w:val="24"/>
          <w:szCs w:val="24"/>
          <w:lang w:val="sr-Cyrl-RS"/>
        </w:rPr>
        <w:t xml:space="preserve"> </w:t>
      </w:r>
      <w:r w:rsidR="00560E09">
        <w:rPr>
          <w:sz w:val="24"/>
          <w:szCs w:val="24"/>
          <w:lang w:val="sr-Cyrl-RS"/>
        </w:rPr>
        <w:t>Преглед у</w:t>
      </w:r>
      <w:r>
        <w:rPr>
          <w:sz w:val="24"/>
          <w:szCs w:val="24"/>
          <w:lang w:val="sr-Cyrl-RS"/>
        </w:rPr>
        <w:t>зор</w:t>
      </w:r>
      <w:r w:rsidR="00560E09">
        <w:rPr>
          <w:sz w:val="24"/>
          <w:szCs w:val="24"/>
          <w:lang w:val="sr-Cyrl-RS"/>
        </w:rPr>
        <w:t>ака</w:t>
      </w:r>
      <w:r>
        <w:rPr>
          <w:sz w:val="24"/>
          <w:szCs w:val="24"/>
          <w:lang w:val="sr-Cyrl-RS"/>
        </w:rPr>
        <w:t xml:space="preserve"> достављени од стране привредног друштва</w:t>
      </w:r>
    </w:p>
    <w:tbl>
      <w:tblPr>
        <w:tblW w:w="893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029"/>
        <w:gridCol w:w="2029"/>
        <w:gridCol w:w="2029"/>
        <w:gridCol w:w="2030"/>
      </w:tblGrid>
      <w:tr w:rsidR="00553AB1" w:rsidRPr="00553AB1" w:rsidTr="00E34B60">
        <w:trPr>
          <w:trHeight w:val="165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E34B60">
              <w:rPr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E34B60">
              <w:rPr>
                <w:sz w:val="24"/>
                <w:szCs w:val="24"/>
                <w:lang w:val="sr-Cyrl-RS"/>
              </w:rPr>
              <w:t>Кравље млеко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E34B60">
              <w:rPr>
                <w:sz w:val="24"/>
                <w:szCs w:val="24"/>
                <w:lang w:val="sr-Cyrl-RS"/>
              </w:rPr>
              <w:t>Сурутка од крављег млека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E34B60">
              <w:rPr>
                <w:sz w:val="24"/>
                <w:szCs w:val="24"/>
                <w:lang w:val="sr-Cyrl-RS"/>
              </w:rPr>
              <w:t>Козије млеко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E34B60">
              <w:rPr>
                <w:sz w:val="24"/>
                <w:szCs w:val="24"/>
                <w:lang w:val="sr-Cyrl-RS"/>
              </w:rPr>
              <w:t>Козија сурутка</w:t>
            </w:r>
          </w:p>
        </w:tc>
      </w:tr>
      <w:tr w:rsidR="00553AB1" w:rsidRPr="00553AB1" w:rsidTr="00E34B60">
        <w:trPr>
          <w:trHeight w:val="165"/>
        </w:trPr>
        <w:tc>
          <w:tcPr>
            <w:tcW w:w="814" w:type="dxa"/>
            <w:vMerge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8117" w:type="dxa"/>
            <w:gridSpan w:val="4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 w:rsidRPr="00E34B60">
              <w:rPr>
                <w:sz w:val="24"/>
                <w:szCs w:val="24"/>
                <w:lang w:val="sr-Cyrl-RS"/>
              </w:rPr>
              <w:t>Датум узорковања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04.11.2018.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05.11.2018.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05.11.2018.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06.11.2018.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10.11.2018.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12.11.2018.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09.11.2018.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10.11.2018.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25.11.2018.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18.11.2018.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14.11.2018.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15.11.2018.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05.12.2018.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25.11.2018.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22.11.2018.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23.11.2018.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12.12.2018.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06.12.2018.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26.11.2018.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27.11.2018.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18.12.2018.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13.12.2018.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29.11.2018.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30.11.2018.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04.01.2019.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20.12.2018.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04.12.2018.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05.12.2018.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08.01.2019.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27.12.2018.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06.12.2018.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07.12.2018.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12.01.2019.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06.01.2019.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28.02.2019.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01.03.2019.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18.01.2019.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15.01.2019.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06.03.2019.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07.03.2019.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28.01.2019.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04.02.2019.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11.03.2019.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12.03.2019.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03.02.2019.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16.02.2019.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17.03.2019.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18.03.2019.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09.02.2019.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22.02.2019.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25.03.2019.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26.03.2019.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22.02.2019.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01.03.2019.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28.03.2019.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29.03.2019.</w:t>
            </w:r>
          </w:p>
        </w:tc>
      </w:tr>
      <w:tr w:rsidR="00553AB1" w:rsidRPr="00553AB1" w:rsidTr="00E34B60">
        <w:tc>
          <w:tcPr>
            <w:tcW w:w="814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07.03.2019.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07.03.2019.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02.04.2019.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553AB1" w:rsidRPr="00E34B60" w:rsidRDefault="00553AB1" w:rsidP="00E34B60">
            <w:pPr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E34B60">
              <w:rPr>
                <w:sz w:val="24"/>
                <w:szCs w:val="24"/>
                <w:lang w:val="sr-Latn-CS"/>
              </w:rPr>
              <w:t>03.04.2019.</w:t>
            </w:r>
          </w:p>
        </w:tc>
      </w:tr>
    </w:tbl>
    <w:p w:rsidR="007B5DFE" w:rsidRDefault="00F521B8" w:rsidP="000C11B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У</w:t>
      </w:r>
      <w:r w:rsidR="004957F7">
        <w:rPr>
          <w:sz w:val="24"/>
          <w:szCs w:val="24"/>
          <w:lang w:val="sr-Cyrl-RS"/>
        </w:rPr>
        <w:t xml:space="preserve">зорци су анализирани </w:t>
      </w:r>
      <w:r>
        <w:rPr>
          <w:sz w:val="24"/>
          <w:szCs w:val="24"/>
          <w:lang w:val="sr-Cyrl-RS"/>
        </w:rPr>
        <w:t xml:space="preserve">акредитованом методом, </w:t>
      </w:r>
      <w:r w:rsidRPr="00F521B8">
        <w:rPr>
          <w:sz w:val="24"/>
          <w:szCs w:val="24"/>
        </w:rPr>
        <w:t xml:space="preserve">ELISA </w:t>
      </w:r>
      <w:r>
        <w:rPr>
          <w:sz w:val="24"/>
          <w:szCs w:val="24"/>
          <w:lang w:val="sr-Cyrl-RS"/>
        </w:rPr>
        <w:t>тестом (02Е</w:t>
      </w:r>
      <w:r w:rsidRPr="00F521B8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01.014). На основу </w:t>
      </w:r>
      <w:r w:rsidR="00560E09">
        <w:rPr>
          <w:sz w:val="24"/>
          <w:szCs w:val="24"/>
          <w:lang w:val="sr-Cyrl-RS"/>
        </w:rPr>
        <w:t xml:space="preserve">добијених </w:t>
      </w:r>
      <w:r>
        <w:rPr>
          <w:sz w:val="24"/>
          <w:szCs w:val="24"/>
          <w:lang w:val="sr-Cyrl-RS"/>
        </w:rPr>
        <w:t xml:space="preserve">резултата испитивања </w:t>
      </w:r>
      <w:r w:rsidR="005645D0">
        <w:rPr>
          <w:sz w:val="24"/>
          <w:szCs w:val="24"/>
          <w:lang w:val="sr-Cyrl-RS"/>
        </w:rPr>
        <w:t>може се закључити да ни у једном</w:t>
      </w:r>
      <w:r w:rsidR="002135A2">
        <w:rPr>
          <w:sz w:val="24"/>
          <w:szCs w:val="24"/>
          <w:lang w:val="sr-Cyrl-RS"/>
        </w:rPr>
        <w:t xml:space="preserve"> од</w:t>
      </w:r>
      <w:r w:rsidR="005645D0">
        <w:rPr>
          <w:sz w:val="24"/>
          <w:szCs w:val="24"/>
          <w:lang w:val="sr-Cyrl-RS"/>
        </w:rPr>
        <w:t xml:space="preserve"> </w:t>
      </w:r>
      <w:r w:rsidR="002135A2">
        <w:rPr>
          <w:sz w:val="24"/>
          <w:szCs w:val="24"/>
          <w:lang w:val="sr-Cyrl-RS"/>
        </w:rPr>
        <w:t xml:space="preserve">испитаних </w:t>
      </w:r>
      <w:r w:rsidR="005645D0">
        <w:rPr>
          <w:sz w:val="24"/>
          <w:szCs w:val="24"/>
          <w:lang w:val="sr-Cyrl-RS"/>
        </w:rPr>
        <w:t>узор</w:t>
      </w:r>
      <w:r w:rsidR="002135A2">
        <w:rPr>
          <w:sz w:val="24"/>
          <w:szCs w:val="24"/>
          <w:lang w:val="sr-Cyrl-RS"/>
        </w:rPr>
        <w:t>а</w:t>
      </w:r>
      <w:r w:rsidR="005645D0">
        <w:rPr>
          <w:sz w:val="24"/>
          <w:szCs w:val="24"/>
          <w:lang w:val="sr-Cyrl-RS"/>
        </w:rPr>
        <w:t>к</w:t>
      </w:r>
      <w:r w:rsidR="002135A2">
        <w:rPr>
          <w:sz w:val="24"/>
          <w:szCs w:val="24"/>
          <w:lang w:val="sr-Cyrl-RS"/>
        </w:rPr>
        <w:t>а</w:t>
      </w:r>
      <w:r w:rsidR="005645D0">
        <w:rPr>
          <w:sz w:val="24"/>
          <w:szCs w:val="24"/>
          <w:lang w:val="sr-Cyrl-RS"/>
        </w:rPr>
        <w:t xml:space="preserve"> није утврђено присуство афлатоксина М1</w:t>
      </w:r>
      <w:r w:rsidR="002135A2">
        <w:rPr>
          <w:sz w:val="24"/>
          <w:szCs w:val="24"/>
          <w:lang w:val="sr-Cyrl-RS"/>
        </w:rPr>
        <w:t xml:space="preserve"> и да сходно томе не постоји здравствени ризик од присуства АФМ1 у крављем и козијем млеку и сурутки добијеној од </w:t>
      </w:r>
      <w:r w:rsidR="006A6B63">
        <w:rPr>
          <w:sz w:val="24"/>
          <w:szCs w:val="24"/>
          <w:lang w:val="sr-Cyrl-RS"/>
        </w:rPr>
        <w:t xml:space="preserve">испитаног млека </w:t>
      </w:r>
      <w:r w:rsidR="005645D0">
        <w:rPr>
          <w:sz w:val="24"/>
          <w:szCs w:val="24"/>
          <w:lang w:val="sr-Cyrl-RS"/>
        </w:rPr>
        <w:t xml:space="preserve">(прилог 2). </w:t>
      </w:r>
      <w:r w:rsidR="001D765F">
        <w:rPr>
          <w:sz w:val="24"/>
          <w:szCs w:val="24"/>
          <w:lang w:val="sr-Cyrl-RS"/>
        </w:rPr>
        <w:t xml:space="preserve">Добијени резултати могу се протумачити начином исхране која се претежно базира на сену и применом интегрисаних система и стандарда у безбедности хране (ХАЦЦП). </w:t>
      </w:r>
    </w:p>
    <w:p w:rsidR="00E57297" w:rsidRDefault="00492E1A" w:rsidP="00E5729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Други део реализације пројекта састојао се у </w:t>
      </w:r>
      <w:r w:rsidR="00756547">
        <w:rPr>
          <w:sz w:val="24"/>
          <w:szCs w:val="24"/>
          <w:lang w:val="sr-Cyrl-RS"/>
        </w:rPr>
        <w:t xml:space="preserve">испитивању </w:t>
      </w:r>
      <w:r w:rsidR="00E57297" w:rsidRPr="00E57297">
        <w:rPr>
          <w:sz w:val="24"/>
          <w:szCs w:val="24"/>
          <w:lang w:val="sr-Cyrl-RS"/>
        </w:rPr>
        <w:t>степен</w:t>
      </w:r>
      <w:r w:rsidR="00756547">
        <w:rPr>
          <w:sz w:val="24"/>
          <w:szCs w:val="24"/>
          <w:lang w:val="sr-Cyrl-RS"/>
        </w:rPr>
        <w:t>а</w:t>
      </w:r>
      <w:r w:rsidR="00E57297" w:rsidRPr="00E57297">
        <w:rPr>
          <w:sz w:val="24"/>
          <w:szCs w:val="24"/>
          <w:lang w:val="sr-Cyrl-RS"/>
        </w:rPr>
        <w:t xml:space="preserve"> </w:t>
      </w:r>
      <w:r w:rsidR="00756547">
        <w:rPr>
          <w:sz w:val="24"/>
          <w:szCs w:val="24"/>
          <w:lang w:val="sr-Cyrl-RS"/>
        </w:rPr>
        <w:t>т</w:t>
      </w:r>
      <w:r w:rsidR="00E57297" w:rsidRPr="00E57297">
        <w:rPr>
          <w:sz w:val="24"/>
          <w:szCs w:val="24"/>
          <w:lang w:val="sr-Cyrl-RS"/>
        </w:rPr>
        <w:t>рансфер</w:t>
      </w:r>
      <w:r w:rsidR="00756547">
        <w:rPr>
          <w:sz w:val="24"/>
          <w:szCs w:val="24"/>
          <w:lang w:val="sr-Cyrl-RS"/>
        </w:rPr>
        <w:t>а</w:t>
      </w:r>
      <w:r w:rsidR="00E57297" w:rsidRPr="00E57297">
        <w:rPr>
          <w:sz w:val="24"/>
          <w:szCs w:val="24"/>
          <w:lang w:val="sr-Cyrl-RS"/>
        </w:rPr>
        <w:t xml:space="preserve"> афлатоксина М1 у сурутку пореклом од млека које се користи за прераду, а не прелази МДK прописане Правилником (0,05 И 0,25 µг/кг) и у другом случају од млека које прелази поменуте лимите. Добијени резултати омогући ће нам да извршимо процену ризика од афлатоксина М1 путем сурутке.</w:t>
      </w:r>
      <w:r w:rsidR="00756547">
        <w:rPr>
          <w:sz w:val="24"/>
          <w:szCs w:val="24"/>
          <w:lang w:val="sr-Cyrl-RS"/>
        </w:rPr>
        <w:t xml:space="preserve"> У табели 2 приказани су резултати </w:t>
      </w:r>
      <w:r w:rsidR="006A6B63">
        <w:rPr>
          <w:sz w:val="24"/>
          <w:szCs w:val="24"/>
          <w:lang w:val="sr-Cyrl-RS"/>
        </w:rPr>
        <w:t>испитива</w:t>
      </w:r>
      <w:r w:rsidR="00086FF1">
        <w:rPr>
          <w:sz w:val="24"/>
          <w:szCs w:val="24"/>
          <w:lang w:val="sr-Cyrl-RS"/>
        </w:rPr>
        <w:t>њ</w:t>
      </w:r>
      <w:r w:rsidR="006A6B63">
        <w:rPr>
          <w:sz w:val="24"/>
          <w:szCs w:val="24"/>
          <w:lang w:val="sr-Cyrl-RS"/>
        </w:rPr>
        <w:t>а</w:t>
      </w:r>
      <w:r w:rsidR="00086FF1">
        <w:rPr>
          <w:sz w:val="24"/>
          <w:szCs w:val="24"/>
          <w:lang w:val="sr-Cyrl-RS"/>
        </w:rPr>
        <w:t xml:space="preserve"> трансфера АФМ1 у сурутку у зависности </w:t>
      </w:r>
      <w:r w:rsidR="00CE571F">
        <w:rPr>
          <w:sz w:val="24"/>
          <w:szCs w:val="24"/>
          <w:lang w:val="sr-Cyrl-RS"/>
        </w:rPr>
        <w:t>од степена контаминације млека</w:t>
      </w:r>
      <w:r w:rsidR="006A6B63">
        <w:rPr>
          <w:sz w:val="24"/>
          <w:szCs w:val="24"/>
          <w:lang w:val="sr-Cyrl-RS"/>
        </w:rPr>
        <w:t xml:space="preserve">. </w:t>
      </w:r>
    </w:p>
    <w:p w:rsidR="00756547" w:rsidRDefault="00756547" w:rsidP="00E57297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Табела 2. </w:t>
      </w:r>
      <w:r w:rsidR="00CE571F">
        <w:rPr>
          <w:sz w:val="24"/>
          <w:szCs w:val="24"/>
          <w:lang w:val="sr-Cyrl-RS"/>
        </w:rPr>
        <w:t xml:space="preserve"> Т</w:t>
      </w:r>
      <w:r w:rsidR="00CE571F" w:rsidRPr="00CE571F">
        <w:rPr>
          <w:sz w:val="24"/>
          <w:szCs w:val="24"/>
          <w:lang w:val="sr-Cyrl-RS"/>
        </w:rPr>
        <w:t>рансфера АФМ1 у сурутку у зависности од степена контаминације млека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1890"/>
        <w:gridCol w:w="1890"/>
      </w:tblGrid>
      <w:tr w:rsidR="005D658D" w:rsidTr="00CE571F">
        <w:tc>
          <w:tcPr>
            <w:tcW w:w="3780" w:type="dxa"/>
            <w:gridSpan w:val="2"/>
            <w:vAlign w:val="center"/>
          </w:tcPr>
          <w:p w:rsidR="005D658D" w:rsidRDefault="005D658D" w:rsidP="00086F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Узорак (</w:t>
            </w:r>
            <w:r w:rsidRPr="006A6B63">
              <w:rPr>
                <w:sz w:val="24"/>
                <w:szCs w:val="24"/>
                <w:lang w:val="sr-Cyrl-RS"/>
              </w:rPr>
              <w:t>µг/кг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Default="005D658D" w:rsidP="00086F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млеко</w:t>
            </w:r>
          </w:p>
        </w:tc>
        <w:tc>
          <w:tcPr>
            <w:tcW w:w="1890" w:type="dxa"/>
            <w:vAlign w:val="center"/>
          </w:tcPr>
          <w:p w:rsidR="005D658D" w:rsidRDefault="005D658D" w:rsidP="00086F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сурутка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0.045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0.04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0.048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0.054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0.078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0.078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0.106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0.07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0.147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0.07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0.15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0.178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0.234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0.244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0.26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0.27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0.264</w:t>
            </w:r>
          </w:p>
        </w:tc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0.262</w:t>
            </w:r>
          </w:p>
        </w:tc>
      </w:tr>
      <w:tr w:rsidR="005D658D" w:rsidTr="00CE571F">
        <w:tc>
          <w:tcPr>
            <w:tcW w:w="1890" w:type="dxa"/>
            <w:vAlign w:val="center"/>
          </w:tcPr>
          <w:p w:rsidR="005D658D" w:rsidRPr="007C4D06" w:rsidRDefault="005D658D" w:rsidP="00086FF1">
            <w:pPr>
              <w:jc w:val="center"/>
            </w:pPr>
            <w:r w:rsidRPr="007C4D06">
              <w:t>0.293</w:t>
            </w:r>
          </w:p>
        </w:tc>
        <w:tc>
          <w:tcPr>
            <w:tcW w:w="1890" w:type="dxa"/>
            <w:vAlign w:val="center"/>
          </w:tcPr>
          <w:p w:rsidR="005D658D" w:rsidRDefault="005D658D" w:rsidP="00086FF1">
            <w:pPr>
              <w:jc w:val="center"/>
            </w:pPr>
            <w:r w:rsidRPr="007C4D06">
              <w:t>0.278</w:t>
            </w:r>
          </w:p>
        </w:tc>
      </w:tr>
    </w:tbl>
    <w:p w:rsidR="006A6B63" w:rsidRDefault="006A6B63" w:rsidP="00E57297">
      <w:pPr>
        <w:jc w:val="both"/>
        <w:rPr>
          <w:sz w:val="24"/>
          <w:szCs w:val="24"/>
          <w:lang w:val="sr-Cyrl-RS"/>
        </w:rPr>
      </w:pPr>
    </w:p>
    <w:p w:rsidR="001D765F" w:rsidRDefault="001D765F" w:rsidP="00E57297">
      <w:pPr>
        <w:jc w:val="both"/>
        <w:rPr>
          <w:sz w:val="24"/>
          <w:szCs w:val="24"/>
          <w:lang w:val="sr-Cyrl-RS"/>
        </w:rPr>
      </w:pPr>
    </w:p>
    <w:p w:rsidR="005D658D" w:rsidRDefault="00A01E3A" w:rsidP="005D658D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Резултати приказани у табели 2 указују да се током прераде млека контаминираног АФМ1 може очекивати присуство АФМ1 у сурутки. </w:t>
      </w:r>
      <w:r w:rsidR="005D658D" w:rsidRPr="005D658D">
        <w:rPr>
          <w:sz w:val="24"/>
          <w:szCs w:val="24"/>
          <w:lang w:val="sr-Cyrl-RS"/>
        </w:rPr>
        <w:t xml:space="preserve">Узимајућу у обзир чињенице које сурутки дају својства функционалне хране са хепатопротективним својствима, а да са друге стране афлатоксин спада у најјаче хепатоканцерогене супстанце, </w:t>
      </w:r>
      <w:r w:rsidR="005D658D">
        <w:rPr>
          <w:sz w:val="24"/>
          <w:szCs w:val="24"/>
          <w:lang w:val="sr-Cyrl-RS"/>
        </w:rPr>
        <w:t>може се сматрати да конзумирање сурутке добијене од млека контаминираног АФ може представљати здравствени ризик, нарочито по ризичну популацију као што су обо</w:t>
      </w:r>
      <w:r w:rsidR="001D765F">
        <w:rPr>
          <w:sz w:val="24"/>
          <w:szCs w:val="24"/>
          <w:lang w:val="sr-Cyrl-RS"/>
        </w:rPr>
        <w:t>лели од хепатитиса</w:t>
      </w:r>
      <w:r w:rsidR="005D658D">
        <w:rPr>
          <w:sz w:val="24"/>
          <w:szCs w:val="24"/>
          <w:lang w:val="sr-Cyrl-RS"/>
        </w:rPr>
        <w:t xml:space="preserve">. </w:t>
      </w:r>
    </w:p>
    <w:p w:rsidR="00F86481" w:rsidRDefault="00756547" w:rsidP="000C11B0">
      <w:pPr>
        <w:jc w:val="both"/>
        <w:rPr>
          <w:noProof/>
          <w:sz w:val="24"/>
          <w:szCs w:val="24"/>
        </w:rPr>
      </w:pPr>
      <w:r w:rsidRPr="00756547">
        <w:rPr>
          <w:noProof/>
          <w:sz w:val="24"/>
          <w:szCs w:val="24"/>
        </w:rPr>
        <w:lastRenderedPageBreak/>
        <w:drawing>
          <wp:inline distT="0" distB="0" distL="0" distR="0">
            <wp:extent cx="54864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47">
        <w:rPr>
          <w:noProof/>
          <w:sz w:val="24"/>
          <w:szCs w:val="24"/>
        </w:rPr>
        <w:t xml:space="preserve"> </w:t>
      </w:r>
    </w:p>
    <w:p w:rsidR="001D765F" w:rsidRDefault="001D765F" w:rsidP="000C11B0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Слика 1. </w:t>
      </w:r>
      <w:r w:rsidR="002D08DC">
        <w:rPr>
          <w:noProof/>
          <w:sz w:val="24"/>
          <w:szCs w:val="24"/>
          <w:lang w:val="sr-Cyrl-RS"/>
        </w:rPr>
        <w:t>дијаграм растурања са р</w:t>
      </w:r>
      <w:r>
        <w:rPr>
          <w:noProof/>
          <w:sz w:val="24"/>
          <w:szCs w:val="24"/>
          <w:lang w:val="sr-Cyrl-RS"/>
        </w:rPr>
        <w:t>егресион</w:t>
      </w:r>
      <w:r w:rsidR="002D08DC">
        <w:rPr>
          <w:noProof/>
          <w:sz w:val="24"/>
          <w:szCs w:val="24"/>
          <w:lang w:val="sr-Cyrl-RS"/>
        </w:rPr>
        <w:t xml:space="preserve">ом правом </w:t>
      </w:r>
    </w:p>
    <w:p w:rsidR="001D765F" w:rsidRDefault="001D765F" w:rsidP="000C11B0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Испитивањем постојања међусобне зависности између степена контаминације млека и сурутке утврђен је висок степен позитивне корелације</w:t>
      </w:r>
      <w:r w:rsidR="002D08DC">
        <w:rPr>
          <w:noProof/>
          <w:sz w:val="24"/>
          <w:szCs w:val="24"/>
          <w:lang w:val="sr-Cyrl-RS"/>
        </w:rPr>
        <w:t xml:space="preserve"> (Р=</w:t>
      </w:r>
      <w:r w:rsidR="002D08DC" w:rsidRPr="001D765F">
        <w:rPr>
          <w:rFonts w:ascii="Calibri" w:eastAsia="Times New Roman" w:hAnsi="Calibri" w:cs="Times New Roman"/>
          <w:color w:val="000000"/>
        </w:rPr>
        <w:t>0.95</w:t>
      </w:r>
      <w:r w:rsidR="002D08DC">
        <w:rPr>
          <w:rFonts w:ascii="Calibri" w:eastAsia="Times New Roman" w:hAnsi="Calibri" w:cs="Times New Roman"/>
          <w:color w:val="000000"/>
          <w:lang w:val="sr-Cyrl-RS"/>
        </w:rPr>
        <w:t>7</w:t>
      </w:r>
      <w:r w:rsidR="002D08DC">
        <w:rPr>
          <w:rFonts w:ascii="Calibri" w:eastAsia="Times New Roman" w:hAnsi="Calibri" w:cs="Times New Roman"/>
          <w:color w:val="000000"/>
          <w:lang w:val="sr-Cyrl-RS"/>
        </w:rPr>
        <w:t>)</w:t>
      </w:r>
      <w:r w:rsidR="007B6ED4">
        <w:rPr>
          <w:noProof/>
          <w:sz w:val="24"/>
          <w:szCs w:val="24"/>
          <w:lang w:val="sr-Cyrl-RS"/>
        </w:rPr>
        <w:t xml:space="preserve">. Позитиван степен корелације указује на то да постоји тенденција да како расте степен контаминације млека (сировине), тако расте и степен контаминације производа (сурутке). </w:t>
      </w:r>
      <w:r w:rsidR="002D08DC">
        <w:rPr>
          <w:noProof/>
          <w:sz w:val="24"/>
          <w:szCs w:val="24"/>
          <w:lang w:val="sr-Cyrl-RS"/>
        </w:rPr>
        <w:t>На слици 1 дат је дијаграм растурања са регресионом правом, која потврђује висок степен позитивне корелације</w:t>
      </w:r>
    </w:p>
    <w:p w:rsidR="001D765F" w:rsidRDefault="001D765F" w:rsidP="001D765F">
      <w:pPr>
        <w:jc w:val="center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Табела 3. степен корелације</w:t>
      </w:r>
    </w:p>
    <w:tbl>
      <w:tblPr>
        <w:tblW w:w="2880" w:type="dxa"/>
        <w:jc w:val="center"/>
        <w:tblLook w:val="04A0" w:firstRow="1" w:lastRow="0" w:firstColumn="1" w:lastColumn="0" w:noHBand="0" w:noVBand="1"/>
      </w:tblPr>
      <w:tblGrid>
        <w:gridCol w:w="1007"/>
        <w:gridCol w:w="960"/>
        <w:gridCol w:w="1007"/>
      </w:tblGrid>
      <w:tr w:rsidR="001D765F" w:rsidRPr="001D765F" w:rsidTr="001D765F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1D765F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sr-Cyrl-RS"/>
              </w:rPr>
              <w:t>млеко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sr-Cyrl-RS"/>
              </w:rPr>
              <w:t>сурутка</w:t>
            </w:r>
          </w:p>
        </w:tc>
      </w:tr>
      <w:tr w:rsidR="001D765F" w:rsidRPr="001D765F" w:rsidTr="001D765F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sr-Cyrl-RS"/>
              </w:rPr>
              <w:t>млеко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76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765F" w:rsidRPr="001D765F" w:rsidTr="001D765F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sr-Cyrl-RS"/>
              </w:rPr>
              <w:t>сурутка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765F">
              <w:rPr>
                <w:rFonts w:ascii="Calibri" w:eastAsia="Times New Roman" w:hAnsi="Calibri" w:cs="Times New Roman"/>
                <w:color w:val="000000"/>
              </w:rPr>
              <w:t>0.95</w:t>
            </w: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65F" w:rsidRPr="001D765F" w:rsidRDefault="001D765F" w:rsidP="001D76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765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1D765F" w:rsidRDefault="001D765F" w:rsidP="000C11B0">
      <w:pPr>
        <w:jc w:val="both"/>
        <w:rPr>
          <w:sz w:val="24"/>
          <w:szCs w:val="24"/>
          <w:lang w:val="sr-Cyrl-RS"/>
        </w:rPr>
      </w:pPr>
    </w:p>
    <w:p w:rsidR="00A95B34" w:rsidRDefault="00A95B34" w:rsidP="000C11B0">
      <w:pPr>
        <w:jc w:val="both"/>
        <w:rPr>
          <w:sz w:val="24"/>
          <w:szCs w:val="24"/>
          <w:lang w:val="sr-Cyrl-RS"/>
        </w:rPr>
      </w:pPr>
    </w:p>
    <w:p w:rsidR="00A95B34" w:rsidRDefault="00A95B34" w:rsidP="000C11B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Београду 18.04.2019.                                                                          ИЗВЕШТАЈ САСТАВИО</w:t>
      </w:r>
    </w:p>
    <w:p w:rsidR="00A95B34" w:rsidRDefault="00A95B34" w:rsidP="000C11B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Др Драган Милићевић</w:t>
      </w:r>
    </w:p>
    <w:p w:rsidR="00A95B34" w:rsidRPr="001D765F" w:rsidRDefault="00A95B34" w:rsidP="000C11B0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в</w:t>
      </w:r>
      <w:bookmarkStart w:id="0" w:name="_GoBack"/>
      <w:bookmarkEnd w:id="0"/>
      <w:r>
        <w:rPr>
          <w:sz w:val="24"/>
          <w:szCs w:val="24"/>
          <w:lang w:val="sr-Cyrl-RS"/>
        </w:rPr>
        <w:t>иши научни сарадник</w:t>
      </w:r>
    </w:p>
    <w:sectPr w:rsidR="00A95B34" w:rsidRPr="001D765F" w:rsidSect="0027098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0"/>
    <w:rsid w:val="00086FF1"/>
    <w:rsid w:val="000A1589"/>
    <w:rsid w:val="000C11B0"/>
    <w:rsid w:val="001D765F"/>
    <w:rsid w:val="002135A2"/>
    <w:rsid w:val="00270986"/>
    <w:rsid w:val="002D08DC"/>
    <w:rsid w:val="002E342B"/>
    <w:rsid w:val="00492E1A"/>
    <w:rsid w:val="004957F7"/>
    <w:rsid w:val="00553AB1"/>
    <w:rsid w:val="00560E09"/>
    <w:rsid w:val="005645D0"/>
    <w:rsid w:val="005D658D"/>
    <w:rsid w:val="006A6B63"/>
    <w:rsid w:val="00756547"/>
    <w:rsid w:val="007B5DFE"/>
    <w:rsid w:val="007B6ED4"/>
    <w:rsid w:val="00A01E3A"/>
    <w:rsid w:val="00A95B34"/>
    <w:rsid w:val="00CA54DD"/>
    <w:rsid w:val="00CE571F"/>
    <w:rsid w:val="00DE263A"/>
    <w:rsid w:val="00E34B60"/>
    <w:rsid w:val="00E57297"/>
    <w:rsid w:val="00EE3141"/>
    <w:rsid w:val="00F521B8"/>
    <w:rsid w:val="00F8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9BB1"/>
  <w15:chartTrackingRefBased/>
  <w15:docId w15:val="{B0AF9005-0716-4DD4-B0B3-14134EB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2</cp:revision>
  <dcterms:created xsi:type="dcterms:W3CDTF">2019-04-18T12:31:00Z</dcterms:created>
  <dcterms:modified xsi:type="dcterms:W3CDTF">2019-04-18T12:31:00Z</dcterms:modified>
</cp:coreProperties>
</file>